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righ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both"/>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righ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righ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righ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righ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ascii="仿宋_GB2312" w:eastAsia="仿宋_GB2312"/>
          <w:sz w:val="32"/>
          <w:szCs w:val="32"/>
        </w:rPr>
      </w:pPr>
      <w:r>
        <w:rPr>
          <w:rFonts w:hint="eastAsia" w:ascii="仿宋_GB2312" w:eastAsia="仿宋_GB2312"/>
          <w:sz w:val="32"/>
          <w:szCs w:val="32"/>
        </w:rPr>
        <w:t>牡政</w:t>
      </w:r>
      <w:r>
        <w:rPr>
          <w:rFonts w:hint="default" w:ascii="仿宋_GB2312" w:eastAsia="仿宋_GB2312"/>
          <w:sz w:val="32"/>
          <w:szCs w:val="32"/>
        </w:rPr>
        <w:t>办</w:t>
      </w:r>
      <w:r>
        <w:rPr>
          <w:rFonts w:hint="eastAsia" w:ascii="仿宋_GB2312" w:eastAsia="仿宋_GB2312"/>
          <w:sz w:val="32"/>
          <w:szCs w:val="32"/>
        </w:rPr>
        <w:t>规〔202</w:t>
      </w:r>
      <w:r>
        <w:rPr>
          <w:rFonts w:hint="default" w:ascii="仿宋_GB2312" w:eastAsia="仿宋_GB2312"/>
          <w:sz w:val="32"/>
          <w:szCs w:val="32"/>
        </w:rPr>
        <w:t>2</w:t>
      </w:r>
      <w:r>
        <w:rPr>
          <w:rFonts w:hint="eastAsia" w:ascii="仿宋_GB2312" w:eastAsia="仿宋_GB2312"/>
          <w:sz w:val="32"/>
          <w:szCs w:val="32"/>
        </w:rPr>
        <w:t>〕</w:t>
      </w:r>
      <w:r>
        <w:rPr>
          <w:rFonts w:hint="default" w:ascii="仿宋_GB2312" w:eastAsia="仿宋_GB2312"/>
          <w:sz w:val="32"/>
          <w:szCs w:val="32"/>
        </w:rPr>
        <w:t>1</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Style w:val="13"/>
          <w:rFonts w:hint="default" w:asciiTheme="majorEastAsia" w:hAnsiTheme="majorEastAsia" w:eastAsiaTheme="majorEastAsia"/>
          <w:sz w:val="44"/>
          <w:szCs w:val="44"/>
        </w:rPr>
      </w:pPr>
      <w:r>
        <w:rPr>
          <w:rStyle w:val="13"/>
          <w:rFonts w:hint="eastAsia" w:cs="宋体" w:asciiTheme="majorEastAsia" w:hAnsiTheme="majorEastAsia" w:eastAsiaTheme="majorEastAsia"/>
          <w:sz w:val="44"/>
          <w:szCs w:val="44"/>
        </w:rPr>
        <w:t>牡丹江市人民政府</w:t>
      </w:r>
      <w:r>
        <w:rPr>
          <w:rStyle w:val="13"/>
          <w:rFonts w:hint="default" w:cs="宋体" w:asciiTheme="majorEastAsia" w:hAnsiTheme="majorEastAsia" w:eastAsiaTheme="majorEastAsia"/>
          <w:sz w:val="44"/>
          <w:szCs w:val="44"/>
        </w:rPr>
        <w:t>办公室</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cs="Times New Roman" w:asciiTheme="majorEastAsia" w:hAnsiTheme="majorEastAsia" w:eastAsiaTheme="majorEastAsia"/>
          <w:b/>
          <w:sz w:val="44"/>
          <w:szCs w:val="44"/>
          <w:shd w:val="clear" w:color="auto" w:fill="FFFFFF"/>
        </w:rPr>
      </w:pPr>
      <w:r>
        <w:rPr>
          <w:rStyle w:val="13"/>
          <w:rFonts w:hint="eastAsia" w:asciiTheme="majorEastAsia" w:hAnsiTheme="majorEastAsia" w:eastAsiaTheme="majorEastAsia"/>
          <w:sz w:val="44"/>
          <w:szCs w:val="44"/>
        </w:rPr>
        <w:t>关于印发牡丹江市市场主体住所（经营场所）登记</w:t>
      </w:r>
      <w:r>
        <w:rPr>
          <w:rStyle w:val="13"/>
          <w:rFonts w:hint="eastAsia" w:asciiTheme="majorEastAsia" w:hAnsiTheme="majorEastAsia" w:eastAsiaTheme="majorEastAsia"/>
          <w:sz w:val="44"/>
          <w:szCs w:val="44"/>
          <w:lang w:eastAsia="zh-CN"/>
        </w:rPr>
        <w:t>管理暂行办法</w:t>
      </w:r>
      <w:r>
        <w:rPr>
          <w:rStyle w:val="13"/>
          <w:rFonts w:hint="eastAsia" w:asciiTheme="majorEastAsia" w:hAnsiTheme="majorEastAsia" w:eastAsiaTheme="majorEastAsia"/>
          <w:sz w:val="44"/>
          <w:szCs w:val="44"/>
          <w:lang w:val="en-US" w:eastAsia="zh-CN"/>
        </w:rPr>
        <w:t>(试行)</w:t>
      </w:r>
      <w:r>
        <w:rPr>
          <w:rFonts w:hint="eastAsia" w:cs="Times New Roman" w:asciiTheme="majorEastAsia" w:hAnsiTheme="majorEastAsia" w:eastAsiaTheme="majorEastAsia"/>
          <w:b/>
          <w:sz w:val="44"/>
          <w:szCs w:val="44"/>
          <w:shd w:val="clear" w:color="auto" w:fill="FFFFFF"/>
        </w:rPr>
        <w:t>的通知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center"/>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textAlignment w:val="auto"/>
        <w:rPr>
          <w:rFonts w:ascii="楷体_GB2312" w:eastAsia="楷体_GB2312"/>
          <w:kern w:val="0"/>
          <w:sz w:val="32"/>
          <w:szCs w:val="32"/>
        </w:rPr>
      </w:pPr>
      <w:r>
        <w:rPr>
          <w:rFonts w:hint="eastAsia" w:ascii="楷体_GB2312" w:eastAsia="楷体_GB2312"/>
          <w:kern w:val="0"/>
          <w:sz w:val="32"/>
          <w:szCs w:val="32"/>
        </w:rPr>
        <w:t>各县（市）</w:t>
      </w:r>
      <w:r>
        <w:rPr>
          <w:rFonts w:hint="default" w:ascii="楷体_GB2312" w:eastAsia="楷体_GB2312"/>
          <w:kern w:val="0"/>
          <w:sz w:val="32"/>
          <w:szCs w:val="32"/>
        </w:rPr>
        <w:t>、区</w:t>
      </w:r>
      <w:r>
        <w:rPr>
          <w:rFonts w:hint="eastAsia" w:ascii="楷体_GB2312" w:eastAsia="楷体_GB2312"/>
          <w:kern w:val="0"/>
          <w:sz w:val="32"/>
          <w:szCs w:val="32"/>
        </w:rPr>
        <w:t>人民政府，市政府各</w:t>
      </w:r>
      <w:r>
        <w:rPr>
          <w:rFonts w:hint="default" w:ascii="楷体_GB2312" w:eastAsia="楷体_GB2312"/>
          <w:kern w:val="0"/>
          <w:sz w:val="32"/>
          <w:szCs w:val="32"/>
        </w:rPr>
        <w:t>有关</w:t>
      </w:r>
      <w:r>
        <w:rPr>
          <w:rFonts w:hint="eastAsia" w:ascii="楷体_GB2312" w:eastAsia="楷体_GB2312"/>
          <w:kern w:val="0"/>
          <w:sz w:val="32"/>
          <w:szCs w:val="32"/>
        </w:rPr>
        <w:t>直属单位：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ascii="楷体_GB2312" w:hAnsi="Times New Roman" w:eastAsia="楷体_GB2312" w:cs="Times New Roman"/>
          <w:sz w:val="32"/>
          <w:szCs w:val="32"/>
          <w:shd w:val="clear" w:color="auto" w:fill="FFFFFF"/>
        </w:rPr>
      </w:pPr>
      <w:r>
        <w:rPr>
          <w:rFonts w:hint="eastAsia" w:ascii="楷体_GB2312" w:eastAsia="楷体_GB2312"/>
          <w:sz w:val="32"/>
          <w:szCs w:val="32"/>
        </w:rPr>
        <w:t>《牡丹江市市场主体住所（经营场所）登记</w:t>
      </w:r>
      <w:r>
        <w:rPr>
          <w:rFonts w:hint="eastAsia" w:ascii="楷体_GB2312" w:eastAsia="楷体_GB2312"/>
          <w:sz w:val="32"/>
          <w:szCs w:val="32"/>
          <w:lang w:eastAsia="zh-CN"/>
        </w:rPr>
        <w:t>管理暂行办法</w:t>
      </w:r>
      <w:r>
        <w:rPr>
          <w:rFonts w:hint="eastAsia" w:ascii="楷体_GB2312" w:eastAsia="楷体_GB2312"/>
          <w:sz w:val="32"/>
          <w:szCs w:val="32"/>
          <w:lang w:val="en-US" w:eastAsia="zh-CN"/>
        </w:rPr>
        <w:t>(试行)</w:t>
      </w:r>
      <w:r>
        <w:rPr>
          <w:rFonts w:hint="eastAsia" w:ascii="楷体_GB2312" w:hAnsi="华文仿宋" w:eastAsia="楷体_GB2312" w:cs="楷体_GB2312"/>
          <w:sz w:val="32"/>
          <w:szCs w:val="32"/>
        </w:rPr>
        <w:t>》</w:t>
      </w:r>
      <w:r>
        <w:rPr>
          <w:rFonts w:hint="default" w:ascii="楷体_GB2312" w:hAnsi="华文仿宋" w:eastAsia="楷体_GB2312" w:cs="楷体_GB2312"/>
          <w:sz w:val="32"/>
          <w:szCs w:val="32"/>
        </w:rPr>
        <w:t>已经市政府第16届57次常务会议讨论通过，现</w:t>
      </w:r>
      <w:r>
        <w:rPr>
          <w:rFonts w:hint="eastAsia" w:ascii="楷体_GB2312" w:hAnsi="华文仿宋" w:eastAsia="楷体_GB2312" w:cs="楷体_GB2312"/>
          <w:sz w:val="32"/>
          <w:szCs w:val="32"/>
        </w:rPr>
        <w:t>印发给你们，</w:t>
      </w:r>
      <w:r>
        <w:rPr>
          <w:rFonts w:hint="default" w:ascii="楷体_GB2312" w:hAnsi="华文仿宋" w:eastAsia="楷体_GB2312" w:cs="楷体_GB2312"/>
          <w:sz w:val="32"/>
          <w:szCs w:val="32"/>
        </w:rPr>
        <w:t>请</w:t>
      </w:r>
      <w:r>
        <w:rPr>
          <w:rFonts w:hint="eastAsia" w:ascii="楷体_GB2312" w:hAnsi="华文仿宋" w:eastAsia="楷体_GB2312" w:cs="楷体_GB2312"/>
          <w:sz w:val="32"/>
          <w:szCs w:val="32"/>
        </w:rPr>
        <w:t>认真贯彻执行。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27" w:firstLineChars="196"/>
        <w:textAlignment w:val="auto"/>
        <w:rPr>
          <w:rFonts w:ascii="楷体_GB2312" w:hAnsi="华文仿宋" w:eastAsia="楷体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textAlignment w:val="auto"/>
        <w:rPr>
          <w:rFonts w:ascii="楷体_GB2312" w:hAnsi="华文仿宋" w:eastAsia="楷体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textAlignment w:val="auto"/>
        <w:rPr>
          <w:rFonts w:ascii="楷体_GB2312" w:hAnsi="华文仿宋" w:eastAsia="楷体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textAlignment w:val="auto"/>
        <w:rPr>
          <w:rFonts w:hint="default" w:ascii="楷体_GB2312" w:hAnsi="华文仿宋" w:eastAsia="楷体_GB2312"/>
          <w:sz w:val="32"/>
          <w:szCs w:val="32"/>
        </w:rPr>
      </w:pPr>
      <w:r>
        <w:rPr>
          <w:rFonts w:ascii="楷体_GB2312" w:hAnsi="华文仿宋" w:eastAsia="楷体_GB2312" w:cs="楷体_GB2312"/>
          <w:sz w:val="32"/>
          <w:szCs w:val="32"/>
        </w:rPr>
        <w:t xml:space="preserve">                           </w:t>
      </w:r>
      <w:r>
        <w:rPr>
          <w:rFonts w:hint="eastAsia" w:ascii="楷体_GB2312" w:hAnsi="华文仿宋" w:eastAsia="楷体_GB2312" w:cs="楷体_GB2312"/>
          <w:sz w:val="32"/>
          <w:szCs w:val="32"/>
        </w:rPr>
        <w:t>牡丹江市人民政府</w:t>
      </w:r>
      <w:r>
        <w:rPr>
          <w:rFonts w:hint="default" w:ascii="楷体_GB2312" w:hAnsi="华文仿宋" w:eastAsia="楷体_GB2312" w:cs="楷体_GB2312"/>
          <w:sz w:val="32"/>
          <w:szCs w:val="32"/>
        </w:rPr>
        <w:t>办公室</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textAlignment w:val="auto"/>
        <w:rPr>
          <w:rFonts w:hint="eastAsia" w:ascii="楷体_GB2312" w:hAnsi="华文仿宋" w:eastAsia="楷体_GB2312" w:cs="楷体_GB2312"/>
          <w:sz w:val="32"/>
          <w:szCs w:val="32"/>
        </w:rPr>
      </w:pPr>
      <w:r>
        <w:rPr>
          <w:rFonts w:ascii="楷体_GB2312" w:hAnsi="华文仿宋" w:eastAsia="楷体_GB2312" w:cs="楷体_GB2312"/>
          <w:sz w:val="32"/>
          <w:szCs w:val="32"/>
        </w:rPr>
        <w:t xml:space="preserve">                           </w:t>
      </w:r>
      <w:r>
        <w:rPr>
          <w:rFonts w:hint="eastAsia" w:ascii="楷体_GB2312" w:hAnsi="华文仿宋" w:eastAsia="楷体_GB2312" w:cs="楷体_GB2312"/>
          <w:sz w:val="32"/>
          <w:szCs w:val="32"/>
        </w:rPr>
        <w:t xml:space="preserve">  </w:t>
      </w:r>
      <w:r>
        <w:rPr>
          <w:rFonts w:ascii="楷体_GB2312" w:hAnsi="华文仿宋" w:eastAsia="楷体_GB2312" w:cs="楷体_GB2312"/>
          <w:sz w:val="32"/>
          <w:szCs w:val="32"/>
        </w:rPr>
        <w:t xml:space="preserve"> </w:t>
      </w:r>
      <w:r>
        <w:rPr>
          <w:rFonts w:hint="eastAsia" w:ascii="楷体_GB2312" w:hAnsi="华文仿宋" w:eastAsia="楷体_GB2312" w:cs="楷体_GB2312"/>
          <w:sz w:val="32"/>
          <w:szCs w:val="32"/>
        </w:rPr>
        <w:t xml:space="preserve"> </w:t>
      </w:r>
      <w:r>
        <w:rPr>
          <w:rFonts w:ascii="楷体_GB2312" w:hAnsi="华文仿宋" w:eastAsia="楷体_GB2312" w:cs="楷体_GB2312"/>
          <w:sz w:val="32"/>
          <w:szCs w:val="32"/>
        </w:rPr>
        <w:t>20</w:t>
      </w:r>
      <w:r>
        <w:rPr>
          <w:rFonts w:hint="eastAsia" w:ascii="楷体_GB2312" w:hAnsi="华文仿宋" w:eastAsia="楷体_GB2312" w:cs="楷体_GB2312"/>
          <w:sz w:val="32"/>
          <w:szCs w:val="32"/>
        </w:rPr>
        <w:t>2</w:t>
      </w:r>
      <w:r>
        <w:rPr>
          <w:rFonts w:hint="default" w:ascii="楷体_GB2312" w:hAnsi="华文仿宋" w:eastAsia="楷体_GB2312" w:cs="楷体_GB2312"/>
          <w:sz w:val="32"/>
          <w:szCs w:val="32"/>
        </w:rPr>
        <w:t>2</w:t>
      </w:r>
      <w:r>
        <w:rPr>
          <w:rFonts w:hint="eastAsia" w:ascii="楷体_GB2312" w:hAnsi="华文仿宋" w:eastAsia="楷体_GB2312" w:cs="楷体_GB2312"/>
          <w:sz w:val="32"/>
          <w:szCs w:val="32"/>
        </w:rPr>
        <w:t>年</w:t>
      </w:r>
      <w:r>
        <w:rPr>
          <w:rFonts w:hint="default" w:ascii="楷体_GB2312" w:hAnsi="华文仿宋" w:eastAsia="楷体_GB2312" w:cs="楷体_GB2312"/>
          <w:sz w:val="32"/>
          <w:szCs w:val="32"/>
        </w:rPr>
        <w:t>1</w:t>
      </w:r>
      <w:r>
        <w:rPr>
          <w:rFonts w:hint="eastAsia" w:ascii="楷体_GB2312" w:hAnsi="华文仿宋" w:eastAsia="楷体_GB2312" w:cs="楷体_GB2312"/>
          <w:sz w:val="32"/>
          <w:szCs w:val="32"/>
        </w:rPr>
        <w:t>月</w:t>
      </w:r>
      <w:r>
        <w:rPr>
          <w:rFonts w:hint="default" w:ascii="楷体_GB2312" w:hAnsi="华文仿宋" w:eastAsia="楷体_GB2312" w:cs="楷体_GB2312"/>
          <w:sz w:val="32"/>
          <w:szCs w:val="32"/>
        </w:rPr>
        <w:t>25</w:t>
      </w:r>
      <w:r>
        <w:rPr>
          <w:rFonts w:hint="eastAsia" w:ascii="楷体_GB2312" w:hAnsi="华文仿宋" w:eastAsia="楷体_GB2312" w:cs="楷体_GB2312"/>
          <w:sz w:val="32"/>
          <w:szCs w:val="32"/>
        </w:rPr>
        <w:t>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default"/>
          <w:color w:val="000000" w:themeColor="text1"/>
          <w14:textFill>
            <w14:solidFill>
              <w14:schemeClr w14:val="tx1"/>
            </w14:solidFill>
          </w14:textFill>
        </w:rPr>
      </w:pPr>
      <w:r>
        <w:rPr>
          <w:color w:val="000000" w:themeColor="text1"/>
          <w14:textFill>
            <w14:solidFill>
              <w14:schemeClr w14:val="tx1"/>
            </w14:solidFill>
          </w14:textFill>
        </w:rPr>
        <w:t>牡丹江市市场主体住所（经营场所）</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eastAsia"/>
          <w:color w:val="000000" w:themeColor="text1"/>
          <w:lang w:val="en-US" w:eastAsia="zh-CN"/>
          <w14:textFill>
            <w14:solidFill>
              <w14:schemeClr w14:val="tx1"/>
            </w14:solidFill>
          </w14:textFill>
        </w:rPr>
      </w:pPr>
      <w:r>
        <w:rPr>
          <w:color w:val="000000" w:themeColor="text1"/>
          <w14:textFill>
            <w14:solidFill>
              <w14:schemeClr w14:val="tx1"/>
            </w14:solidFill>
          </w14:textFill>
        </w:rPr>
        <w:t>登记管理暂行办法</w:t>
      </w:r>
      <w:r>
        <w:rPr>
          <w:rFonts w:hint="eastAsia"/>
          <w:color w:val="000000" w:themeColor="text1"/>
          <w:lang w:val="en-US" w:eastAsia="zh-CN"/>
          <w14:textFill>
            <w14:solidFill>
              <w14:schemeClr w14:val="tx1"/>
            </w14:solidFill>
          </w14:textFill>
        </w:rPr>
        <w:t>(试行)</w:t>
      </w:r>
    </w:p>
    <w:p>
      <w:pPr>
        <w:rPr>
          <w:rFonts w:hint="default"/>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2"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w:t>第一条</w:t>
      </w:r>
      <w:r>
        <w:rPr>
          <w:rFonts w:hint="default"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为进一步深化商事制度改革，优化营商环境，激</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textAlignment w:val="auto"/>
        <w:rPr>
          <w:rFonts w:hint="default" w:ascii="仿宋" w:hAnsi="仿宋" w:eastAsia="仿宋" w:cs="仿宋"/>
          <w:color w:val="FF0000"/>
          <w:sz w:val="32"/>
          <w:szCs w:val="32"/>
        </w:rPr>
      </w:pPr>
      <w:r>
        <w:rPr>
          <w:rFonts w:ascii="仿宋" w:hAnsi="仿宋" w:eastAsia="仿宋" w:cs="仿宋"/>
          <w:color w:val="000000" w:themeColor="text1"/>
          <w:sz w:val="32"/>
          <w:szCs w:val="32"/>
          <w14:textFill>
            <w14:solidFill>
              <w14:schemeClr w14:val="tx1"/>
            </w14:solidFill>
          </w14:textFill>
        </w:rPr>
        <w:t>发市场活力，简化市场主体住所（经营场所）登记手续，根据《国务院关于印发注册资本登记制度改革方案的通知》（</w:t>
      </w:r>
      <w:r>
        <w:rPr>
          <w:rFonts w:hint="eastAsia" w:ascii="仿宋" w:hAnsi="仿宋" w:eastAsia="仿宋" w:cs="仿宋"/>
          <w:color w:val="000000" w:themeColor="text1"/>
          <w:sz w:val="32"/>
          <w:szCs w:val="32"/>
          <w:lang w:eastAsia="zh-CN"/>
          <w14:textFill>
            <w14:solidFill>
              <w14:schemeClr w14:val="tx1"/>
            </w14:solidFill>
          </w14:textFill>
        </w:rPr>
        <w:t>国发</w:t>
      </w:r>
      <w:r>
        <w:rPr>
          <w:rFonts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lang w:val="en-US" w:eastAsia="zh-CN"/>
          <w14:textFill>
            <w14:solidFill>
              <w14:schemeClr w14:val="tx1"/>
            </w14:solidFill>
          </w14:textFill>
        </w:rPr>
        <w:t>14</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ascii="仿宋" w:hAnsi="仿宋" w:eastAsia="仿宋" w:cs="仿宋"/>
          <w:color w:val="000000" w:themeColor="text1"/>
          <w:sz w:val="32"/>
          <w:szCs w:val="32"/>
          <w14:textFill>
            <w14:solidFill>
              <w14:schemeClr w14:val="tx1"/>
            </w14:solidFill>
          </w14:textFill>
        </w:rPr>
        <w:t>号）、《黑龙江省人民政府办公厅关于深化商事制度改革进一步为企业松绑减负激发企业活力的实施意见》（黑政办规〔2021〕10号）、《黑龙江省人民政府办公厅关于印发黑龙江省市场主体住所（经营场所）登记暂行办法的通知》（黑政办发〔2014〕9号）等有关规定，结合我市实际，</w:t>
      </w:r>
      <w:r>
        <w:rPr>
          <w:rFonts w:ascii="仿宋" w:hAnsi="仿宋" w:eastAsia="仿宋" w:cs="仿宋"/>
          <w:sz w:val="32"/>
          <w:szCs w:val="32"/>
        </w:rPr>
        <w:t>制定本</w:t>
      </w:r>
      <w:r>
        <w:rPr>
          <w:rFonts w:hint="default" w:ascii="仿宋" w:hAnsi="仿宋" w:eastAsia="仿宋" w:cs="仿宋"/>
          <w:sz w:val="32"/>
          <w:szCs w:val="32"/>
        </w:rPr>
        <w:t>暂行办法。</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2" w:firstLineChars="200"/>
        <w:textAlignment w:val="auto"/>
        <w:rPr>
          <w:rFonts w:hint="eastAsia" w:eastAsia="仿宋_GB2312"/>
          <w:szCs w:val="32"/>
        </w:rPr>
      </w:pPr>
      <w:r>
        <w:rPr>
          <w:rFonts w:hint="default" w:ascii="仿宋" w:hAnsi="仿宋" w:eastAsia="仿宋" w:cs="仿宋"/>
          <w:b/>
          <w:bCs/>
          <w:color w:val="auto"/>
          <w:sz w:val="32"/>
          <w:szCs w:val="32"/>
        </w:rPr>
        <w:t xml:space="preserve">第二条 </w:t>
      </w:r>
      <w:r>
        <w:rPr>
          <w:rFonts w:hint="eastAsia" w:eastAsia="仿宋_GB2312"/>
          <w:szCs w:val="32"/>
        </w:rPr>
        <w:t>本办法所称市场主体是指依法登记的各类企业、农民专业合作社和个体工商户。</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firstLine="642" w:firstLineChars="200"/>
        <w:textAlignment w:val="auto"/>
        <w:rPr>
          <w:rFonts w:hint="default"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w:t>第三条</w:t>
      </w:r>
      <w:r>
        <w:rPr>
          <w:rFonts w:hint="default" w:ascii="仿宋" w:hAnsi="仿宋" w:eastAsia="仿宋" w:cs="仿宋"/>
          <w:b/>
          <w:bCs/>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本办法所称住所,是指市场主体的主要办事机构所在地。经登记机关登记的市场主体的住所只能有一个,且必须在登记机关辖区内。住所为法律文书送达地址和确定司法、行政地域管辖的依据。</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本办法所称经营场所,是指市场主体从事经营活动的营业场所。经营场所可以与住所不在同一地点,市场主体可以根据需要设立多个经营场所。但个体工商户在市场主体登记机关登记的经营场所只能为一处。</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2" w:firstLineChars="200"/>
        <w:textAlignment w:val="auto"/>
        <w:rPr>
          <w:rFonts w:hint="default"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w:t>第四条</w:t>
      </w:r>
      <w:r>
        <w:rPr>
          <w:rFonts w:hint="default" w:ascii="仿宋" w:hAnsi="仿宋" w:eastAsia="仿宋" w:cs="仿宋"/>
          <w:b/>
          <w:bCs/>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市场主体在其住所所属行政辖区〔县（市）区〕内增设不需前置许可的经营场所，可以自主选择办理分支机构登记或者经营场所备案。办理经营场所备案的,登记机关可以在其营业执照上加注经营场所地址。</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增设经营场所与住所不在同一行政辖区〔县（市）区〕内或者从事的经营项目需依法办理前置审批的,市场主体应当办理分支机构登记。</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2" w:firstLineChars="200"/>
        <w:textAlignment w:val="auto"/>
        <w:rPr>
          <w:rFonts w:hint="default"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w:t>第五条</w:t>
      </w:r>
      <w:r>
        <w:rPr>
          <w:rFonts w:hint="default" w:ascii="仿宋" w:hAnsi="仿宋" w:eastAsia="仿宋" w:cs="仿宋"/>
          <w:b/>
          <w:bCs/>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同一地址可以作为多个市场主体的住所办理登记。</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2" w:firstLineChars="200"/>
        <w:textAlignment w:val="auto"/>
        <w:rPr>
          <w:rFonts w:hint="eastAsia" w:ascii="仿宋" w:hAnsi="仿宋" w:eastAsia="仿宋" w:cs="仿宋"/>
          <w:color w:val="FF0000"/>
          <w:sz w:val="32"/>
          <w:szCs w:val="32"/>
          <w:lang w:eastAsia="zh-CN"/>
        </w:rPr>
      </w:pPr>
      <w:r>
        <w:rPr>
          <w:rFonts w:ascii="仿宋" w:hAnsi="仿宋" w:eastAsia="仿宋" w:cs="仿宋"/>
          <w:b/>
          <w:bCs/>
          <w:color w:val="000000" w:themeColor="text1"/>
          <w:sz w:val="32"/>
          <w:szCs w:val="32"/>
          <w14:textFill>
            <w14:solidFill>
              <w14:schemeClr w14:val="tx1"/>
            </w14:solidFill>
          </w14:textFill>
        </w:rPr>
        <w:t>第六条</w:t>
      </w:r>
      <w:r>
        <w:rPr>
          <w:rFonts w:hint="default" w:ascii="仿宋" w:hAnsi="仿宋" w:eastAsia="仿宋" w:cs="仿宋"/>
          <w:b/>
          <w:bCs/>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市场主体应当使用真实、合法、有效、安全的固定场所作为住所(经营场所)，并应当遵守土地管理、城乡规划、房屋安全等有关规定</w:t>
      </w:r>
      <w:r>
        <w:rPr>
          <w:rFonts w:hint="eastAsia" w:ascii="仿宋" w:hAnsi="仿宋" w:eastAsia="仿宋" w:cs="仿宋"/>
          <w:color w:val="000000" w:themeColor="text1"/>
          <w:sz w:val="32"/>
          <w:szCs w:val="32"/>
          <w:lang w:eastAsia="zh-CN"/>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申请人应当对提交的住所（经营场所）的申请材料的真实性、合法性、有效性负责。登记机关对注册登记的申请材料实行形式审查，不对其产权权属、使用功能及法定用途进行实质性审查。</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住所(经营场所)的地址应当按省、市、县(市、区)、乡镇(街道)、村(路、</w:t>
      </w:r>
      <w:r>
        <w:rPr>
          <w:rFonts w:hint="eastAsia" w:ascii="仿宋" w:hAnsi="仿宋" w:eastAsia="仿宋" w:cs="仿宋"/>
          <w:color w:val="000000" w:themeColor="text1"/>
          <w:sz w:val="32"/>
          <w:szCs w:val="32"/>
          <w:lang w:eastAsia="zh-CN"/>
          <w14:textFill>
            <w14:solidFill>
              <w14:schemeClr w14:val="tx1"/>
            </w14:solidFill>
          </w14:textFill>
        </w:rPr>
        <w:t>小</w:t>
      </w:r>
      <w:r>
        <w:rPr>
          <w:rFonts w:ascii="仿宋" w:hAnsi="仿宋" w:eastAsia="仿宋" w:cs="仿宋"/>
          <w:color w:val="000000" w:themeColor="text1"/>
          <w:sz w:val="32"/>
          <w:szCs w:val="32"/>
          <w14:textFill>
            <w14:solidFill>
              <w14:schemeClr w14:val="tx1"/>
            </w14:solidFill>
          </w14:textFill>
        </w:rPr>
        <w:t>区)、门牌、楼号、房号等依次填写。无门牌或者房号的,加注与周边</w:t>
      </w:r>
      <w:r>
        <w:rPr>
          <w:rFonts w:hint="default" w:ascii="仿宋" w:hAnsi="仿宋" w:eastAsia="仿宋" w:cs="仿宋"/>
          <w:color w:val="000000" w:themeColor="text1"/>
          <w:sz w:val="32"/>
          <w:szCs w:val="32"/>
          <w14:textFill>
            <w14:solidFill>
              <w14:schemeClr w14:val="tx1"/>
            </w14:solidFill>
          </w14:textFill>
        </w:rPr>
        <w:t>街道</w:t>
      </w:r>
      <w:r>
        <w:rPr>
          <w:rFonts w:ascii="仿宋" w:hAnsi="仿宋" w:eastAsia="仿宋" w:cs="仿宋"/>
          <w:color w:val="000000" w:themeColor="text1"/>
          <w:sz w:val="32"/>
          <w:szCs w:val="32"/>
          <w14:textFill>
            <w14:solidFill>
              <w14:schemeClr w14:val="tx1"/>
            </w14:solidFill>
          </w14:textFill>
        </w:rPr>
        <w:t>的距离,做到详细、明确、规范。</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2" w:firstLineChars="200"/>
        <w:textAlignment w:val="auto"/>
        <w:rPr>
          <w:rFonts w:hint="default"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w:t>第七条</w:t>
      </w:r>
      <w:r>
        <w:rPr>
          <w:rFonts w:hint="default" w:ascii="仿宋" w:hAnsi="仿宋" w:eastAsia="仿宋" w:cs="仿宋"/>
          <w:b/>
          <w:bCs/>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使用住宅作为住所(经营场所)必须符合《中华人民共和国民法典》等法律、法规以及管理规约。其</w:t>
      </w:r>
      <w:r>
        <w:rPr>
          <w:rFonts w:hint="default" w:ascii="仿宋" w:hAnsi="仿宋" w:eastAsia="仿宋" w:cs="仿宋"/>
          <w:color w:val="000000" w:themeColor="text1"/>
          <w:sz w:val="32"/>
          <w:szCs w:val="32"/>
          <w14:textFill>
            <w14:solidFill>
              <w14:schemeClr w14:val="tx1"/>
            </w14:solidFill>
          </w14:textFill>
        </w:rPr>
        <w:t>经营</w:t>
      </w:r>
      <w:r>
        <w:rPr>
          <w:rFonts w:ascii="仿宋" w:hAnsi="仿宋" w:eastAsia="仿宋" w:cs="仿宋"/>
          <w:color w:val="000000" w:themeColor="text1"/>
          <w:sz w:val="32"/>
          <w:szCs w:val="32"/>
          <w14:textFill>
            <w14:solidFill>
              <w14:schemeClr w14:val="tx1"/>
            </w14:solidFill>
          </w14:textFill>
        </w:rPr>
        <w:t>范围</w:t>
      </w:r>
      <w:r>
        <w:rPr>
          <w:rFonts w:hint="default" w:ascii="仿宋" w:hAnsi="仿宋" w:eastAsia="仿宋" w:cs="仿宋"/>
          <w:color w:val="000000" w:themeColor="text1"/>
          <w:sz w:val="32"/>
          <w:szCs w:val="32"/>
          <w14:textFill>
            <w14:solidFill>
              <w14:schemeClr w14:val="tx1"/>
            </w14:solidFill>
          </w14:textFill>
        </w:rPr>
        <w:t>应为</w:t>
      </w:r>
      <w:r>
        <w:rPr>
          <w:rFonts w:ascii="仿宋" w:hAnsi="仿宋" w:eastAsia="仿宋" w:cs="仿宋"/>
          <w:color w:val="000000" w:themeColor="text1"/>
          <w:sz w:val="32"/>
          <w:szCs w:val="32"/>
          <w14:textFill>
            <w14:solidFill>
              <w14:schemeClr w14:val="tx1"/>
            </w14:solidFill>
          </w14:textFill>
        </w:rPr>
        <w:t>无污染、不扰民、无安全隐患的行业。</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2" w:firstLineChars="200"/>
        <w:textAlignment w:val="auto"/>
        <w:rPr>
          <w:rFonts w:hint="eastAsia" w:ascii="仿宋" w:hAnsi="仿宋" w:eastAsia="仿宋" w:cs="仿宋"/>
          <w:sz w:val="32"/>
          <w:szCs w:val="32"/>
        </w:rPr>
      </w:pPr>
      <w:r>
        <w:rPr>
          <w:rFonts w:ascii="仿宋" w:hAnsi="仿宋" w:eastAsia="仿宋" w:cs="仿宋"/>
          <w:b/>
          <w:bCs/>
          <w:sz w:val="32"/>
          <w:szCs w:val="32"/>
        </w:rPr>
        <w:t>第八条</w:t>
      </w:r>
      <w:r>
        <w:rPr>
          <w:rFonts w:hint="default" w:ascii="仿宋" w:hAnsi="仿宋" w:eastAsia="仿宋" w:cs="仿宋"/>
          <w:b/>
          <w:bCs/>
          <w:sz w:val="32"/>
          <w:szCs w:val="32"/>
        </w:rPr>
        <w:t xml:space="preserve"> </w:t>
      </w:r>
      <w:r>
        <w:rPr>
          <w:rFonts w:hint="eastAsia" w:ascii="仿宋" w:hAnsi="仿宋" w:eastAsia="仿宋" w:cs="仿宋"/>
          <w:sz w:val="32"/>
          <w:szCs w:val="32"/>
        </w:rPr>
        <w:t>对已列入被征收范围但仍在使用的房屋，在当地政府发布的房屋征收封闭公告或征收决定有效期内，一般不得登记为市场主体住所（经营场所）；对于不影响征收的，经当地房屋征收管理部门批准后可以登记为市场主体住所（经营场所），但营业执照和登记时提交的有关场所证明材料不得作为房屋征收补偿的依据。</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2" w:firstLineChars="200"/>
        <w:textAlignment w:val="auto"/>
        <w:rPr>
          <w:rFonts w:hint="eastAsia" w:ascii="仿宋" w:hAnsi="仿宋" w:eastAsia="仿宋" w:cs="仿宋"/>
          <w:color w:val="auto"/>
          <w:sz w:val="32"/>
          <w:szCs w:val="32"/>
          <w:lang w:val="en-US" w:eastAsia="zh-CN"/>
        </w:rPr>
      </w:pPr>
      <w:r>
        <w:rPr>
          <w:rFonts w:ascii="仿宋" w:hAnsi="仿宋" w:eastAsia="仿宋" w:cs="仿宋"/>
          <w:b/>
          <w:bCs/>
          <w:color w:val="auto"/>
          <w:sz w:val="32"/>
          <w:szCs w:val="32"/>
        </w:rPr>
        <w:t>第九条</w:t>
      </w:r>
      <w:r>
        <w:rPr>
          <w:rFonts w:hint="default" w:ascii="仿宋" w:hAnsi="仿宋" w:eastAsia="仿宋" w:cs="仿宋"/>
          <w:b/>
          <w:bCs/>
          <w:color w:val="auto"/>
          <w:sz w:val="32"/>
          <w:szCs w:val="32"/>
        </w:rPr>
        <w:t xml:space="preserve"> </w:t>
      </w:r>
      <w:r>
        <w:rPr>
          <w:rFonts w:hint="eastAsia" w:ascii="仿宋" w:hAnsi="仿宋" w:eastAsia="仿宋" w:cs="仿宋"/>
          <w:color w:val="auto"/>
          <w:sz w:val="32"/>
          <w:szCs w:val="32"/>
          <w:lang w:val="en-US" w:eastAsia="zh-CN"/>
        </w:rPr>
        <w:t>市场主体住所(经营场所)登记实行负面清单管理</w:t>
      </w:r>
      <w:r>
        <w:rPr>
          <w:rFonts w:hint="default" w:ascii="仿宋" w:hAnsi="仿宋" w:eastAsia="仿宋" w:cs="仿宋"/>
          <w:color w:val="auto"/>
          <w:sz w:val="32"/>
          <w:szCs w:val="32"/>
          <w:lang w:eastAsia="zh-CN"/>
        </w:rPr>
        <w:t>。</w:t>
      </w:r>
      <w:r>
        <w:rPr>
          <w:rFonts w:ascii="仿宋" w:hAnsi="仿宋" w:eastAsia="仿宋" w:cs="仿宋"/>
          <w:color w:val="auto"/>
          <w:sz w:val="32"/>
          <w:szCs w:val="32"/>
        </w:rPr>
        <w:t>根据法律、法规、规章及市政府相关规定，结合城市管理、安全、规划等需要，</w:t>
      </w:r>
      <w:r>
        <w:rPr>
          <w:rFonts w:hint="eastAsia" w:ascii="仿宋" w:hAnsi="仿宋" w:eastAsia="仿宋" w:cs="仿宋"/>
          <w:color w:val="auto"/>
          <w:sz w:val="32"/>
          <w:szCs w:val="32"/>
          <w:lang w:val="en-US" w:eastAsia="zh-CN"/>
        </w:rPr>
        <w:t>由市市场监督管理局会同市级有关部门共同拟定，并实施动态更新。</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2" w:firstLineChars="200"/>
        <w:textAlignment w:val="auto"/>
        <w:rPr>
          <w:rFonts w:hint="default"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w:t>第十条</w:t>
      </w:r>
      <w:r>
        <w:rPr>
          <w:rFonts w:hint="default" w:ascii="仿宋" w:hAnsi="仿宋" w:eastAsia="仿宋" w:cs="仿宋"/>
          <w:b/>
          <w:bCs/>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申请人取得住所（经营场所）合法使用权后可选择提交住所（经营场所）合法使用证明向市场主体登记机关申请注册登记，或选择自主申报承诺制形式进行住所（经营场所）登记申请。</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选择住所（经营场所）自主申报承诺制形式申请登记注册时，只需向登记机关提交载明其具有合法使用权的住所（经营场所）地址信息和承诺内容的申报承诺书作为使用证明即可。</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登记机关在办理市场主体登记时，按其申报的地址核定住所，并在其营业执照住所栏后加注“自主申报”字样。</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2" w:firstLineChars="200"/>
        <w:textAlignment w:val="auto"/>
        <w:rPr>
          <w:rFonts w:hint="default"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w:t>第十一条</w:t>
      </w:r>
      <w:r>
        <w:rPr>
          <w:rFonts w:hint="default" w:ascii="仿宋" w:hAnsi="仿宋" w:eastAsia="仿宋" w:cs="仿宋"/>
          <w:b/>
          <w:bCs/>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市场监督管理部门结合市场主体年报信息和即时信息抽查，或者通过受理举报、投诉、转办等方式，对市场主体申报的住所（经营场所）信息加强监督管理。申报住所（经营场所）信息和承诺存在虚假或者隐瞒重要事实，取得市场主体登记的，根据市场主体类型按照相关法律法规规定依法处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2" w:firstLineChars="200"/>
        <w:textAlignment w:val="auto"/>
        <w:rPr>
          <w:rFonts w:hint="default"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w:t>第十二条</w:t>
      </w:r>
      <w:r>
        <w:rPr>
          <w:rFonts w:hint="default" w:ascii="仿宋" w:hAnsi="仿宋" w:eastAsia="仿宋" w:cs="仿宋"/>
          <w:b/>
          <w:bCs/>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市场主体使用不符合规定条件或者属于法律法规政策限制、禁止的场所作为住所（经营场所）的，有关部门应当依法履行职责，按照“谁审批、谁监管，谁主管、谁监管”原则依法处理。</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2" w:firstLineChars="200"/>
        <w:textAlignment w:val="auto"/>
        <w:rPr>
          <w:rFonts w:hint="default" w:ascii="仿宋" w:hAnsi="仿宋" w:eastAsia="仿宋" w:cs="仿宋"/>
          <w:color w:val="000000" w:themeColor="text1"/>
          <w:sz w:val="32"/>
          <w:szCs w:val="32"/>
          <w14:textFill>
            <w14:solidFill>
              <w14:schemeClr w14:val="tx1"/>
            </w14:solidFill>
          </w14:textFill>
        </w:rPr>
      </w:pPr>
      <w:r>
        <w:rPr>
          <w:rFonts w:hint="default" w:ascii="仿宋" w:hAnsi="仿宋" w:eastAsia="仿宋" w:cs="仿宋"/>
          <w:b/>
          <w:bCs/>
          <w:color w:val="000000" w:themeColor="text1"/>
          <w:sz w:val="32"/>
          <w:szCs w:val="32"/>
          <w14:textFill>
            <w14:solidFill>
              <w14:schemeClr w14:val="tx1"/>
            </w14:solidFill>
          </w14:textFill>
        </w:rPr>
        <w:t>第十三条</w:t>
      </w:r>
      <w:r>
        <w:rPr>
          <w:rFonts w:hint="default" w:ascii="仿宋" w:hAnsi="仿宋" w:eastAsia="仿宋" w:cs="仿宋"/>
          <w:color w:val="000000" w:themeColor="text1"/>
          <w:sz w:val="32"/>
          <w:szCs w:val="32"/>
          <w14:textFill>
            <w14:solidFill>
              <w14:schemeClr w14:val="tx1"/>
            </w14:solidFill>
          </w14:textFill>
        </w:rPr>
        <w:t xml:space="preserve"> 全市各级市场监管部门应与有关监管部门建立健全跨部门、跨区域执法联动响应和协作机制，进一步加强市场主体住所（经营场所）事中事后监管，实现各部门间依法履职信息的互联互通、联动响应，形成分工明确、沟通顺畅、齐抓共管的监管格局，切实增强市场主体住所（经营场所）监管合力，提升监管效能。</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2" w:firstLineChars="200"/>
        <w:textAlignment w:val="auto"/>
        <w:rPr>
          <w:rFonts w:ascii="仿宋" w:hAnsi="仿宋" w:eastAsia="仿宋" w:cs="仿宋"/>
          <w:color w:val="000000" w:themeColor="text1"/>
          <w:sz w:val="32"/>
          <w:szCs w:val="32"/>
          <w14:textFill>
            <w14:solidFill>
              <w14:schemeClr w14:val="tx1"/>
            </w14:solidFill>
          </w14:textFill>
        </w:rPr>
      </w:pPr>
      <w:r>
        <w:rPr>
          <w:rFonts w:ascii="仿宋" w:hAnsi="仿宋" w:eastAsia="仿宋" w:cs="仿宋"/>
          <w:b/>
          <w:bCs/>
          <w:color w:val="000000" w:themeColor="text1"/>
          <w:sz w:val="32"/>
          <w:szCs w:val="32"/>
          <w14:textFill>
            <w14:solidFill>
              <w14:schemeClr w14:val="tx1"/>
            </w14:solidFill>
          </w14:textFill>
        </w:rPr>
        <w:t>第十</w:t>
      </w:r>
      <w:r>
        <w:rPr>
          <w:rFonts w:hint="default" w:ascii="仿宋" w:hAnsi="仿宋" w:eastAsia="仿宋" w:cs="仿宋"/>
          <w:b/>
          <w:bCs/>
          <w:color w:val="000000" w:themeColor="text1"/>
          <w:sz w:val="32"/>
          <w:szCs w:val="32"/>
          <w14:textFill>
            <w14:solidFill>
              <w14:schemeClr w14:val="tx1"/>
            </w14:solidFill>
          </w14:textFill>
        </w:rPr>
        <w:t>四</w:t>
      </w:r>
      <w:r>
        <w:rPr>
          <w:rFonts w:ascii="仿宋" w:hAnsi="仿宋" w:eastAsia="仿宋" w:cs="仿宋"/>
          <w:b/>
          <w:bCs/>
          <w:color w:val="000000" w:themeColor="text1"/>
          <w:sz w:val="32"/>
          <w:szCs w:val="32"/>
          <w14:textFill>
            <w14:solidFill>
              <w14:schemeClr w14:val="tx1"/>
            </w14:solidFill>
          </w14:textFill>
        </w:rPr>
        <w:t>条 </w:t>
      </w:r>
      <w:r>
        <w:rPr>
          <w:rFonts w:hint="default" w:ascii="仿宋" w:hAnsi="仿宋" w:eastAsia="仿宋" w:cs="仿宋"/>
          <w:b/>
          <w:bCs/>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各县(市)人民政府</w:t>
      </w:r>
      <w:r>
        <w:rPr>
          <w:rFonts w:hint="default" w:ascii="仿宋" w:hAnsi="仿宋" w:eastAsia="仿宋" w:cs="仿宋"/>
          <w:color w:val="000000" w:themeColor="text1"/>
          <w:sz w:val="32"/>
          <w:szCs w:val="32"/>
          <w14:textFill>
            <w14:solidFill>
              <w14:schemeClr w14:val="tx1"/>
            </w14:solidFill>
          </w14:textFill>
        </w:rPr>
        <w:t>可以</w:t>
      </w:r>
      <w:r>
        <w:rPr>
          <w:rFonts w:ascii="仿宋" w:hAnsi="仿宋" w:eastAsia="仿宋" w:cs="仿宋"/>
          <w:color w:val="000000" w:themeColor="text1"/>
          <w:sz w:val="32"/>
          <w:szCs w:val="32"/>
          <w14:textFill>
            <w14:solidFill>
              <w14:schemeClr w14:val="tx1"/>
            </w14:solidFill>
          </w14:textFill>
        </w:rPr>
        <w:t>结合当地实际情况</w:t>
      </w:r>
      <w:r>
        <w:rPr>
          <w:rFonts w:hint="default" w:ascii="仿宋" w:hAnsi="仿宋" w:eastAsia="仿宋" w:cs="仿宋"/>
          <w:color w:val="000000" w:themeColor="text1"/>
          <w:sz w:val="32"/>
          <w:szCs w:val="32"/>
          <w14:textFill>
            <w14:solidFill>
              <w14:schemeClr w14:val="tx1"/>
            </w14:solidFill>
          </w14:textFill>
        </w:rPr>
        <w:t>，制定本暂行办法</w:t>
      </w:r>
      <w:r>
        <w:rPr>
          <w:rFonts w:hint="default" w:ascii="仿宋" w:hAnsi="仿宋" w:eastAsia="仿宋" w:cs="仿宋"/>
          <w:color w:val="auto"/>
          <w:sz w:val="32"/>
          <w:szCs w:val="32"/>
        </w:rPr>
        <w:t>落实</w:t>
      </w:r>
      <w:r>
        <w:rPr>
          <w:rFonts w:hint="default" w:ascii="仿宋" w:hAnsi="仿宋" w:eastAsia="仿宋" w:cs="仿宋"/>
          <w:color w:val="000000" w:themeColor="text1"/>
          <w:sz w:val="32"/>
          <w:szCs w:val="32"/>
          <w14:textFill>
            <w14:solidFill>
              <w14:schemeClr w14:val="tx1"/>
            </w14:solidFill>
          </w14:textFill>
        </w:rPr>
        <w:t>举措</w:t>
      </w:r>
      <w:r>
        <w:rPr>
          <w:rFonts w:ascii="仿宋" w:hAnsi="仿宋" w:eastAsia="仿宋" w:cs="仿宋"/>
          <w:color w:val="000000" w:themeColor="text1"/>
          <w:sz w:val="32"/>
          <w:szCs w:val="32"/>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2"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第十五条</w:t>
      </w:r>
      <w:r>
        <w:rPr>
          <w:rFonts w:hint="eastAsia" w:ascii="仿宋" w:hAnsi="仿宋" w:eastAsia="仿宋" w:cs="仿宋"/>
          <w:color w:val="000000" w:themeColor="text1"/>
          <w:sz w:val="32"/>
          <w:szCs w:val="32"/>
          <w:lang w:val="en-US" w:eastAsia="zh-CN"/>
          <w14:textFill>
            <w14:solidFill>
              <w14:schemeClr w14:val="tx1"/>
            </w14:solidFill>
          </w14:textFill>
        </w:rPr>
        <w:t xml:space="preserve"> 本办法自公布之日起30日后施行。</w:t>
      </w: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textAlignment w:val="auto"/>
        <w:rPr>
          <w:rFonts w:hint="default"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附件:1</w:t>
      </w:r>
      <w:r>
        <w:rPr>
          <w:rFonts w:hint="default"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牡丹江市市场主体住所（经营场所）禁入区域与行业限制清单（第一批）</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1440" w:leftChars="0"/>
        <w:textAlignment w:val="auto"/>
        <w:rPr>
          <w:rFonts w:ascii="仿宋" w:hAnsi="仿宋" w:eastAsia="仿宋" w:cs="仿宋"/>
          <w:color w:val="000000" w:themeColor="text1"/>
          <w:sz w:val="32"/>
          <w:szCs w:val="32"/>
          <w14:textFill>
            <w14:solidFill>
              <w14:schemeClr w14:val="tx1"/>
            </w14:solidFill>
          </w14:textFill>
        </w:rPr>
      </w:pPr>
      <w:r>
        <w:rPr>
          <w:rFonts w:hint="default" w:ascii="仿宋" w:hAnsi="仿宋" w:eastAsia="仿宋" w:cs="仿宋"/>
          <w:color w:val="000000" w:themeColor="text1"/>
          <w:sz w:val="32"/>
          <w:szCs w:val="32"/>
          <w14:textFill>
            <w14:solidFill>
              <w14:schemeClr w14:val="tx1"/>
            </w14:solidFill>
          </w14:textFill>
        </w:rPr>
        <w:t>2.</w:t>
      </w:r>
      <w:r>
        <w:rPr>
          <w:rFonts w:ascii="仿宋" w:hAnsi="仿宋" w:eastAsia="仿宋" w:cs="仿宋"/>
          <w:color w:val="000000" w:themeColor="text1"/>
          <w:sz w:val="32"/>
          <w:szCs w:val="32"/>
          <w14:textFill>
            <w14:solidFill>
              <w14:schemeClr w14:val="tx1"/>
            </w14:solidFill>
          </w14:textFill>
        </w:rPr>
        <w:t>市场主体住所（经营场所）申报承诺书</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bookmarkStart w:id="0" w:name="_GoBack"/>
      <w:bookmarkEnd w:id="0"/>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jc w:val="both"/>
        <w:textAlignment w:val="auto"/>
        <w:rPr>
          <w:rFonts w:hint="default" w:ascii="仿宋" w:hAnsi="仿宋" w:eastAsia="仿宋" w:cs="仿宋"/>
          <w:color w:val="000000" w:themeColor="text1"/>
          <w:sz w:val="32"/>
          <w:szCs w:val="32"/>
          <w14:textFill>
            <w14:solidFill>
              <w14:schemeClr w14:val="tx1"/>
            </w14:solidFill>
          </w14:textFill>
        </w:rPr>
      </w:pPr>
    </w:p>
    <w:p>
      <w:pPr>
        <w:spacing w:line="640" w:lineRule="exact"/>
        <w:rPr>
          <w:rFonts w:ascii="仿宋_GB2312" w:hAnsi="宋体"/>
          <w:sz w:val="28"/>
        </w:rPr>
      </w:pPr>
    </w:p>
    <w:p>
      <w:pPr>
        <w:spacing w:line="640" w:lineRule="exact"/>
        <w:rPr>
          <w:rFonts w:ascii="仿宋_GB2312" w:hAnsi="宋体"/>
          <w:sz w:val="28"/>
        </w:rPr>
      </w:pPr>
      <w:r>
        <w:rPr>
          <w:rFonts w:ascii="Times New Roman" w:hAnsi="Times New Roman"/>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347980</wp:posOffset>
                </wp:positionV>
                <wp:extent cx="53721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4pt;height:0pt;width:423pt;z-index:251660288;mso-width-relative:page;mso-height-relative:page;" filled="f" stroked="t" coordsize="21600,21600" o:gfxdata="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E7CI0bUAAAABgEAAA8AAAAAAAAAAQAgAAAAOAAAAGRycy9kb3ducmV2LnhtbFBLAQIUABQAAAAI&#10;AIdO4kCYyJg02wEAAJYDAAAOAAAAAAAAAAEAIAAAADkBAABkcnMvZTJvRG9jLnhtbFBLBQYAAAAA&#10;BgAGAFkBAACGBQAAAAA=&#10;">
                <v:fill on="f" focussize="0,0"/>
                <v:stroke color="#000000" joinstyle="round"/>
                <v:imagedata o:title=""/>
                <o:lock v:ext="edit" aspectratio="f"/>
              </v:line>
            </w:pict>
          </mc:Fallback>
        </mc:AlternateContent>
      </w:r>
    </w:p>
    <w:p>
      <w:pPr>
        <w:spacing w:line="640" w:lineRule="exact"/>
        <w:ind w:firstLine="280" w:firstLineChars="100"/>
        <w:rPr>
          <w:rFonts w:ascii="仿宋_GB2312" w:eastAsia="仿宋_GB2312"/>
          <w:sz w:val="28"/>
        </w:rPr>
      </w:pPr>
      <w:r>
        <w:rPr>
          <w:rFonts w:hint="eastAsia" w:ascii="仿宋_GB2312" w:eastAsia="仿宋_GB2312"/>
          <w:sz w:val="28"/>
        </w:rPr>
        <w:t>抄送：市委各直属单位，军分区，师院，医学院。</w:t>
      </w:r>
    </w:p>
    <w:p>
      <w:pPr>
        <w:spacing w:line="640" w:lineRule="exact"/>
        <w:ind w:left="1159" w:leftChars="152" w:hanging="840" w:hangingChars="300"/>
        <w:rPr>
          <w:rFonts w:ascii="仿宋_GB2312" w:eastAsia="仿宋_GB2312"/>
          <w:sz w:val="28"/>
        </w:rPr>
      </w:pPr>
      <w:r>
        <w:rPr>
          <w:rFonts w:hint="eastAsia" w:ascii="仿宋_GB2312" w:eastAsia="仿宋_GB2312"/>
          <w:sz w:val="28"/>
        </w:rPr>
        <w:t xml:space="preserve">     市人大常委会办公室，市政协办公室，市法院，市检察院。</w:t>
      </w:r>
    </w:p>
    <w:p>
      <w:pPr>
        <w:spacing w:line="640" w:lineRule="exact"/>
        <w:ind w:firstLine="210" w:firstLineChars="100"/>
        <w:rPr>
          <w:rFonts w:hint="default" w:ascii="仿宋" w:hAnsi="仿宋" w:eastAsia="仿宋" w:cs="仿宋"/>
          <w:color w:val="000000" w:themeColor="text1"/>
          <w:sz w:val="32"/>
          <w:szCs w:val="32"/>
          <w14:textFill>
            <w14:solidFill>
              <w14:schemeClr w14:val="tx1"/>
            </w14:solidFill>
          </w14:textFill>
        </w:rPr>
      </w:pPr>
      <w:r>
        <w:rPr>
          <w:rFonts w:ascii="Times New Roman" w:eastAsia="宋体"/>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434340</wp:posOffset>
                </wp:positionV>
                <wp:extent cx="53721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4.2pt;height:0pt;width:423pt;z-index:251661312;mso-width-relative:page;mso-height-relative:page;" filled="f" stroked="t" coordsize="21600,21600" o:gfxdata="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Pn8vudMAAAAGAQAADwAAAAAAAAABACAAAAA4AAAAZHJzL2Rvd25yZXYueG1sUEsBAhQAFAAAAAgA&#10;h07iQK7f1O3bAQAAlgMAAA4AAAAAAAAAAQAgAAAAOAEAAGRycy9lMm9Eb2MueG1sUEsFBgAAAAAG&#10;AAYAWQEAAIUFAAAAAA==&#10;">
                <v:fill on="f" focussize="0,0"/>
                <v:stroke color="#000000" joinstyle="round"/>
                <v:imagedata o:title=""/>
                <o:lock v:ext="edit" aspectratio="f"/>
              </v:line>
            </w:pict>
          </mc:Fallback>
        </mc:AlternateContent>
      </w:r>
      <w:r>
        <w:rPr>
          <w:rFonts w:ascii="Times New Roman" w:eastAsia="宋体"/>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33020</wp:posOffset>
                </wp:positionV>
                <wp:extent cx="53721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pt;height:0pt;width:423pt;z-index:251662336;mso-width-relative:page;mso-height-relative:page;" filled="f" stroked="t" coordsize="21600,21600" o:gfxdata="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hd9R&#10;adIAAAAEAQAADwAAAAAAAAABACAAAAA4AAAAZHJzL2Rvd25yZXYueG1sUEsBAhQAFAAAAAgAh07i&#10;QImj/FnZAQAAlgMAAA4AAAAAAAAAAQAgAAAANwEAAGRycy9lMm9Eb2MueG1sUEsFBgAAAAAGAAYA&#10;WQEAAIIFAAAAAA==&#10;">
                <v:fill on="f" focussize="0,0"/>
                <v:stroke color="#000000" joinstyle="round"/>
                <v:imagedata o:title=""/>
                <o:lock v:ext="edit" aspectratio="f"/>
              </v:line>
            </w:pict>
          </mc:Fallback>
        </mc:AlternateContent>
      </w:r>
      <w:r>
        <w:rPr>
          <w:rFonts w:hint="eastAsia" w:ascii="仿宋_GB2312" w:eastAsia="仿宋_GB2312"/>
          <w:sz w:val="28"/>
        </w:rPr>
        <w:t>牡丹江市人民政府办公室               202</w:t>
      </w:r>
      <w:r>
        <w:rPr>
          <w:rFonts w:hint="default" w:ascii="仿宋_GB2312" w:eastAsia="仿宋_GB2312"/>
          <w:sz w:val="28"/>
        </w:rPr>
        <w:t>2</w:t>
      </w:r>
      <w:r>
        <w:rPr>
          <w:rFonts w:hint="eastAsia" w:ascii="仿宋_GB2312" w:eastAsia="仿宋_GB2312"/>
          <w:sz w:val="28"/>
        </w:rPr>
        <w:t>年</w:t>
      </w:r>
      <w:r>
        <w:rPr>
          <w:rFonts w:hint="default" w:ascii="仿宋_GB2312" w:eastAsia="仿宋_GB2312"/>
          <w:sz w:val="28"/>
        </w:rPr>
        <w:t>1</w:t>
      </w:r>
      <w:r>
        <w:rPr>
          <w:rFonts w:hint="eastAsia" w:ascii="仿宋_GB2312" w:eastAsia="仿宋_GB2312"/>
          <w:sz w:val="28"/>
        </w:rPr>
        <w:t>月</w:t>
      </w:r>
      <w:r>
        <w:rPr>
          <w:rFonts w:hint="default" w:ascii="仿宋_GB2312" w:eastAsia="仿宋_GB2312"/>
          <w:sz w:val="28"/>
        </w:rPr>
        <w:t>25</w:t>
      </w:r>
      <w:r>
        <w:rPr>
          <w:rFonts w:hint="eastAsia" w:ascii="仿宋_GB2312" w:eastAsia="仿宋_GB2312"/>
          <w:sz w:val="28"/>
        </w:rPr>
        <w:t>日印发</w:t>
      </w:r>
    </w:p>
    <w:sectPr>
      <w:footerReference r:id="rId3" w:type="default"/>
      <w:pgSz w:w="11906" w:h="16838"/>
      <w:pgMar w:top="2098" w:right="1474" w:bottom="1984" w:left="158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文星仿宋">
    <w:altName w:val="方正仿宋_GBK"/>
    <w:panose1 w:val="02010604000101010101"/>
    <w:charset w:val="86"/>
    <w:family w:val="auto"/>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ascii="Times New Roman" w:hAnsi="Times New Roman" w:cs="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zSVju0AAAAAUBAAAPAAAAAAAAAAEAIAAAADgAAABkcnMvZG93bnJldi54bWxQSwECFAAUAAAA&#10;CACHTuJAK6jqchkCAAAhBAAADgAAAAAAAAABACAAAAA1AQAAZHJzL2Uyb0RvYy54bWxQSwUGAAAA&#10;AAYABgBZAQAAwAUAAAAA&#10;">
              <v:fill on="f" focussize="0,0"/>
              <v:stroke on="f" weight="0.5pt"/>
              <v:imagedata o:title=""/>
              <o:lock v:ext="edit" aspectratio="f"/>
              <v:textbox inset="0mm,0mm,0mm,0mm" style="mso-fit-shape-to-text:t;">
                <w:txbxContent>
                  <w:p>
                    <w:pPr>
                      <w:pStyle w:val="8"/>
                      <w:rPr>
                        <w:rFonts w:ascii="Times New Roman" w:hAnsi="Times New Roman" w:cs="Times New Roman"/>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1552A"/>
    <w:rsid w:val="0014268B"/>
    <w:rsid w:val="001D1FF5"/>
    <w:rsid w:val="00A659C0"/>
    <w:rsid w:val="00E87848"/>
    <w:rsid w:val="02105DD0"/>
    <w:rsid w:val="07AC659B"/>
    <w:rsid w:val="07B35BB8"/>
    <w:rsid w:val="09107BB0"/>
    <w:rsid w:val="0AAC6AF2"/>
    <w:rsid w:val="0AF62B05"/>
    <w:rsid w:val="0B892750"/>
    <w:rsid w:val="0DA45993"/>
    <w:rsid w:val="0E064C05"/>
    <w:rsid w:val="0FCF020B"/>
    <w:rsid w:val="109408CD"/>
    <w:rsid w:val="135D53AE"/>
    <w:rsid w:val="13947E28"/>
    <w:rsid w:val="13F01B1F"/>
    <w:rsid w:val="14487BE0"/>
    <w:rsid w:val="14BC6568"/>
    <w:rsid w:val="15810BF0"/>
    <w:rsid w:val="17EE3F33"/>
    <w:rsid w:val="1E6E1936"/>
    <w:rsid w:val="1FA228EE"/>
    <w:rsid w:val="23B3630F"/>
    <w:rsid w:val="25654639"/>
    <w:rsid w:val="277E4194"/>
    <w:rsid w:val="27DA1565"/>
    <w:rsid w:val="2C276214"/>
    <w:rsid w:val="2CD206C8"/>
    <w:rsid w:val="2D4D1F2B"/>
    <w:rsid w:val="2E9A3C4C"/>
    <w:rsid w:val="30310AF4"/>
    <w:rsid w:val="30956276"/>
    <w:rsid w:val="32721E44"/>
    <w:rsid w:val="334F66ED"/>
    <w:rsid w:val="3374119B"/>
    <w:rsid w:val="34300DFD"/>
    <w:rsid w:val="362E3871"/>
    <w:rsid w:val="36A830CF"/>
    <w:rsid w:val="36C941D3"/>
    <w:rsid w:val="36DD180A"/>
    <w:rsid w:val="39BA177C"/>
    <w:rsid w:val="39D357FC"/>
    <w:rsid w:val="3C186EE1"/>
    <w:rsid w:val="3DC235D8"/>
    <w:rsid w:val="3DF04357"/>
    <w:rsid w:val="3EA6628B"/>
    <w:rsid w:val="3F783CBF"/>
    <w:rsid w:val="3FDFAC23"/>
    <w:rsid w:val="40666734"/>
    <w:rsid w:val="4251552A"/>
    <w:rsid w:val="437D308F"/>
    <w:rsid w:val="47564AC4"/>
    <w:rsid w:val="4C233708"/>
    <w:rsid w:val="4E366D3E"/>
    <w:rsid w:val="51AF590D"/>
    <w:rsid w:val="522E5E70"/>
    <w:rsid w:val="53B45BDE"/>
    <w:rsid w:val="54200638"/>
    <w:rsid w:val="54C559FE"/>
    <w:rsid w:val="58832974"/>
    <w:rsid w:val="5CC47695"/>
    <w:rsid w:val="5E881B5A"/>
    <w:rsid w:val="61415F63"/>
    <w:rsid w:val="61AE59C0"/>
    <w:rsid w:val="63310F95"/>
    <w:rsid w:val="64233BF2"/>
    <w:rsid w:val="64A35904"/>
    <w:rsid w:val="65485E9B"/>
    <w:rsid w:val="65E46C0D"/>
    <w:rsid w:val="66DE4935"/>
    <w:rsid w:val="6BDFB5FD"/>
    <w:rsid w:val="6CB749A8"/>
    <w:rsid w:val="6D585BC3"/>
    <w:rsid w:val="6E8E5F23"/>
    <w:rsid w:val="6FEB5461"/>
    <w:rsid w:val="6FF24754"/>
    <w:rsid w:val="6FFF5927"/>
    <w:rsid w:val="70310CA4"/>
    <w:rsid w:val="713C0CC4"/>
    <w:rsid w:val="72930A9B"/>
    <w:rsid w:val="73984FF7"/>
    <w:rsid w:val="74DD455B"/>
    <w:rsid w:val="763A03C3"/>
    <w:rsid w:val="76B10FCF"/>
    <w:rsid w:val="78191C11"/>
    <w:rsid w:val="7914648C"/>
    <w:rsid w:val="7B432AC9"/>
    <w:rsid w:val="7CB46437"/>
    <w:rsid w:val="7DD83F6E"/>
    <w:rsid w:val="7E231F3A"/>
    <w:rsid w:val="7E377D5F"/>
    <w:rsid w:val="7EB12283"/>
    <w:rsid w:val="7ED5A010"/>
    <w:rsid w:val="9B573C45"/>
    <w:rsid w:val="B7FF2D22"/>
    <w:rsid w:val="C7DE4C8C"/>
    <w:rsid w:val="DFDEC997"/>
    <w:rsid w:val="DFFBF173"/>
    <w:rsid w:val="EB5F9730"/>
    <w:rsid w:val="EBFFA533"/>
    <w:rsid w:val="F67399D2"/>
    <w:rsid w:val="F9F5DA42"/>
    <w:rsid w:val="FD761863"/>
    <w:rsid w:val="FF7ED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line="413"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index 5"/>
    <w:basedOn w:val="1"/>
    <w:next w:val="1"/>
    <w:qFormat/>
    <w:uiPriority w:val="0"/>
    <w:pPr>
      <w:ind w:left="1680"/>
    </w:pPr>
    <w:rPr>
      <w:rFonts w:hint="eastAsia"/>
      <w:kern w:val="1"/>
    </w:rPr>
  </w:style>
  <w:style w:type="paragraph" w:styleId="6">
    <w:name w:val="Body Text"/>
    <w:basedOn w:val="1"/>
    <w:qFormat/>
    <w:uiPriority w:val="0"/>
    <w:rPr>
      <w:rFonts w:eastAsia="文星仿宋"/>
      <w:sz w:val="32"/>
    </w:rPr>
  </w:style>
  <w:style w:type="paragraph" w:styleId="7">
    <w:name w:val="Body Text Indent 2"/>
    <w:basedOn w:val="1"/>
    <w:qFormat/>
    <w:uiPriority w:val="0"/>
    <w:pPr>
      <w:spacing w:line="480" w:lineRule="auto"/>
      <w:ind w:left="420" w:leftChars="200"/>
    </w:pPr>
    <w:rPr>
      <w:rFonts w:hint="eastAsia"/>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rPr>
  </w:style>
  <w:style w:type="paragraph" w:customStyle="1" w:styleId="14">
    <w:name w:val="p0"/>
    <w:basedOn w:val="1"/>
    <w:next w:val="5"/>
    <w:unhideWhenUsed/>
    <w:qFormat/>
    <w:uiPriority w:val="0"/>
    <w:pPr>
      <w:spacing w:beforeAutospacing="1" w:afterAutospacing="1"/>
      <w:jc w:val="left"/>
    </w:pPr>
    <w:rPr>
      <w:rFonts w:hint="eastAsia" w:ascii="宋体" w:hAnsi="宋体" w:eastAsia="宋体"/>
      <w:kern w:val="0"/>
      <w:sz w:val="24"/>
    </w:rPr>
  </w:style>
  <w:style w:type="paragraph" w:customStyle="1" w:styleId="15">
    <w:name w:val="正文 New New New"/>
    <w:unhideWhenUsed/>
    <w:qFormat/>
    <w:uiPriority w:val="0"/>
    <w:pPr>
      <w:widowControl w:val="0"/>
      <w:jc w:val="both"/>
    </w:pPr>
    <w:rPr>
      <w:rFonts w:hint="eastAsia" w:ascii="Times New Roman" w:hAnsi="Times New Roman" w:eastAsia="Times New Roman"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301</Words>
  <Characters>1722</Characters>
  <Lines>14</Lines>
  <Paragraphs>4</Paragraphs>
  <TotalTime>1</TotalTime>
  <ScaleCrop>false</ScaleCrop>
  <LinksUpToDate>false</LinksUpToDate>
  <CharactersWithSpaces>2019</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2021-09-17T01:11:00Z</dcterms:created>
  <dc:creator>Administrator</dc:creator>
  <cp:lastModifiedBy>greatwall</cp:lastModifiedBy>
  <cp:lastPrinted>2022-01-08T18:11:00Z</cp:lastPrinted>
  <dcterms:modified xsi:type="dcterms:W3CDTF">2022-01-25T16:28:52Z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7BBD3F0A710547878660333DBC9AD4F0</vt:lpwstr>
  </property>
</Properties>
</file>